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 w:cs="Times New Roman"/>
          <w:sz w:val="32"/>
          <w:szCs w:val="32"/>
        </w:rPr>
      </w:pPr>
      <w:bookmarkStart w:id="2" w:name="_GoBack"/>
      <w:bookmarkEnd w:id="2"/>
      <w:r>
        <w:rPr>
          <w:rFonts w:ascii="Times New Roman" w:hAnsi="Times New Roman" w:eastAsia="黑体" w:cs="Times New Roman"/>
          <w:sz w:val="32"/>
          <w:szCs w:val="32"/>
        </w:rPr>
        <w:t>附件1</w:t>
      </w:r>
    </w:p>
    <w:p>
      <w:pPr>
        <w:jc w:val="center"/>
        <w:rPr>
          <w:rFonts w:ascii="方正小标宋_GBK" w:hAnsi="Times New Roman" w:eastAsia="方正小标宋_GBK" w:cs="Times New Roman"/>
          <w:sz w:val="44"/>
          <w:szCs w:val="44"/>
        </w:rPr>
      </w:pPr>
      <w:r>
        <w:rPr>
          <w:rFonts w:hint="eastAsia" w:ascii="方正小标宋_GBK" w:hAnsi="Times New Roman" w:eastAsia="方正小标宋_GBK" w:cs="Times New Roman"/>
          <w:sz w:val="44"/>
          <w:szCs w:val="44"/>
        </w:rPr>
        <w:t>省级企业技术中心初评方法</w:t>
      </w:r>
    </w:p>
    <w:p>
      <w:pPr>
        <w:jc w:val="left"/>
        <w:rPr>
          <w:rFonts w:ascii="Times New Roman" w:hAnsi="Times New Roman" w:cs="Times New Roman"/>
          <w:b/>
          <w:sz w:val="30"/>
          <w:szCs w:val="30"/>
        </w:rPr>
      </w:pPr>
    </w:p>
    <w:p>
      <w:pPr>
        <w:widowControl/>
        <w:spacing w:line="540" w:lineRule="exact"/>
        <w:ind w:firstLine="600"/>
        <w:rPr>
          <w:rFonts w:ascii="Times New Roman" w:hAnsi="Times New Roman" w:eastAsia="方正仿宋_GBK" w:cs="Times New Roman"/>
          <w:kern w:val="0"/>
          <w:sz w:val="30"/>
          <w:szCs w:val="30"/>
        </w:rPr>
      </w:pPr>
      <w:r>
        <w:rPr>
          <w:rFonts w:ascii="Times New Roman" w:hAnsi="Times New Roman" w:eastAsia="方正仿宋_GBK" w:cs="Times New Roman"/>
          <w:kern w:val="0"/>
          <w:sz w:val="30"/>
          <w:szCs w:val="30"/>
        </w:rPr>
        <w:t>省级企业技术中心的初评按以下程序进行：</w:t>
      </w:r>
    </w:p>
    <w:p>
      <w:pPr>
        <w:widowControl/>
        <w:spacing w:line="540" w:lineRule="exact"/>
        <w:ind w:left="600"/>
        <w:jc w:val="left"/>
        <w:rPr>
          <w:rFonts w:ascii="Times New Roman" w:hAnsi="Times New Roman" w:eastAsia="宋体" w:cs="Times New Roman"/>
          <w:kern w:val="0"/>
          <w:sz w:val="30"/>
          <w:szCs w:val="30"/>
        </w:rPr>
      </w:pPr>
      <w:r>
        <w:rPr>
          <w:rFonts w:ascii="Times New Roman" w:hAnsi="Times New Roman" w:eastAsia="方正黑体_GBK" w:cs="Times New Roman"/>
          <w:kern w:val="0"/>
          <w:sz w:val="30"/>
          <w:szCs w:val="30"/>
        </w:rPr>
        <w:t>一、基础数据处理</w:t>
      </w:r>
    </w:p>
    <w:p>
      <w:pPr>
        <w:widowControl/>
        <w:spacing w:line="540" w:lineRule="exact"/>
        <w:ind w:firstLine="600"/>
        <w:rPr>
          <w:rFonts w:ascii="Times New Roman" w:hAnsi="Times New Roman" w:eastAsia="宋体" w:cs="Times New Roman"/>
          <w:kern w:val="0"/>
          <w:sz w:val="30"/>
          <w:szCs w:val="30"/>
        </w:rPr>
      </w:pPr>
      <w:r>
        <w:rPr>
          <w:rFonts w:ascii="Times New Roman" w:hAnsi="Times New Roman" w:eastAsia="方正仿宋_GBK" w:cs="Times New Roman"/>
          <w:kern w:val="0"/>
          <w:sz w:val="30"/>
          <w:szCs w:val="30"/>
        </w:rPr>
        <w:t>在进行正式评价之前，根据《江苏省省级企业技术中心工作指南（试行）》（苏工信创新〔2020〕258号，以下简称《工作指南》）明确的各项指标解释，结合申请报告中的相关附件及证明材料，对企业技术中心提交的“江苏省省级企业技术中心评价数据表” 中各项数据值进行逐项核实，对证明材料缺失或无效的数据，按量予以核减，以最终的核定数据作为计算每项指标得分的依据。</w:t>
      </w:r>
    </w:p>
    <w:p>
      <w:pPr>
        <w:widowControl/>
        <w:spacing w:line="540" w:lineRule="exact"/>
        <w:ind w:left="600"/>
        <w:jc w:val="left"/>
        <w:rPr>
          <w:rFonts w:ascii="Times New Roman" w:hAnsi="Times New Roman" w:eastAsia="宋体" w:cs="Times New Roman"/>
          <w:kern w:val="0"/>
          <w:sz w:val="30"/>
          <w:szCs w:val="30"/>
        </w:rPr>
      </w:pPr>
      <w:r>
        <w:rPr>
          <w:rFonts w:ascii="Times New Roman" w:hAnsi="Times New Roman" w:eastAsia="方正黑体_GBK" w:cs="Times New Roman"/>
          <w:kern w:val="0"/>
          <w:sz w:val="30"/>
          <w:szCs w:val="30"/>
        </w:rPr>
        <w:t>二、指标数值计算</w:t>
      </w:r>
    </w:p>
    <w:p>
      <w:pPr>
        <w:spacing w:line="540" w:lineRule="exact"/>
        <w:ind w:right="40" w:firstLine="600"/>
        <w:rPr>
          <w:rFonts w:ascii="Times New Roman" w:hAnsi="Times New Roman" w:eastAsia="宋体" w:cs="Times New Roman"/>
          <w:kern w:val="0"/>
          <w:sz w:val="30"/>
          <w:szCs w:val="30"/>
        </w:rPr>
      </w:pPr>
      <w:r>
        <w:rPr>
          <w:rFonts w:ascii="Times New Roman" w:hAnsi="Times New Roman" w:eastAsia="方正仿宋_GBK" w:cs="Times New Roman"/>
          <w:kern w:val="0"/>
          <w:sz w:val="30"/>
          <w:szCs w:val="30"/>
        </w:rPr>
        <w:t xml:space="preserve">在获得各项指标的核定数据后，可获得《江苏省省级企业技术中心评价指标体系》（见《工作指南》附件 </w:t>
      </w:r>
      <w:r>
        <w:rPr>
          <w:rFonts w:ascii="Times New Roman" w:hAnsi="Times New Roman" w:eastAsia="Times New Roman" w:cs="Times New Roman"/>
          <w:kern w:val="0"/>
          <w:sz w:val="30"/>
          <w:szCs w:val="30"/>
        </w:rPr>
        <w:t>4</w:t>
      </w:r>
      <w:r>
        <w:rPr>
          <w:rFonts w:ascii="Times New Roman" w:hAnsi="Times New Roman" w:eastAsia="方正仿宋_GBK" w:cs="Times New Roman"/>
          <w:kern w:val="0"/>
          <w:sz w:val="30"/>
          <w:szCs w:val="30"/>
        </w:rPr>
        <w:t xml:space="preserve"> 第一部分）中各项指标的数值。其中，有 </w:t>
      </w:r>
      <w:r>
        <w:rPr>
          <w:rFonts w:ascii="Times New Roman" w:hAnsi="Times New Roman" w:eastAsia="Times New Roman" w:cs="Times New Roman"/>
          <w:kern w:val="0"/>
          <w:sz w:val="30"/>
          <w:szCs w:val="30"/>
        </w:rPr>
        <w:t>7</w:t>
      </w:r>
      <w:r>
        <w:rPr>
          <w:rFonts w:ascii="Times New Roman" w:hAnsi="Times New Roman" w:eastAsia="方正仿宋_GBK" w:cs="Times New Roman"/>
          <w:kern w:val="0"/>
          <w:sz w:val="30"/>
          <w:szCs w:val="30"/>
        </w:rPr>
        <w:t xml:space="preserve"> 项指标的数值须通过计算获得。对于引入行业系数进行调节的“研发经费支出占主营业务收入的比重”、“新产品销售收入占主营业务收入的比重”、“新产品销售利润占利润总额的 比重”</w:t>
      </w:r>
      <w:r>
        <w:rPr>
          <w:rFonts w:ascii="Times New Roman" w:hAnsi="Times New Roman" w:eastAsia="Times New Roman" w:cs="Times New Roman"/>
          <w:kern w:val="0"/>
          <w:sz w:val="30"/>
          <w:szCs w:val="30"/>
        </w:rPr>
        <w:t>3</w:t>
      </w:r>
      <w:r>
        <w:rPr>
          <w:rFonts w:ascii="Times New Roman" w:hAnsi="Times New Roman" w:eastAsia="方正仿宋_GBK" w:cs="Times New Roman"/>
          <w:kern w:val="0"/>
          <w:sz w:val="30"/>
          <w:szCs w:val="30"/>
        </w:rPr>
        <w:t xml:space="preserve"> 项指标，在计算获得原始指标数值后，再乘以本企业所在行业的行业系数（见《工作指南》附件 </w:t>
      </w:r>
      <w:r>
        <w:rPr>
          <w:rFonts w:ascii="Times New Roman" w:hAnsi="Times New Roman" w:eastAsia="Times New Roman" w:cs="Times New Roman"/>
          <w:kern w:val="0"/>
          <w:sz w:val="30"/>
          <w:szCs w:val="30"/>
        </w:rPr>
        <w:t>4</w:t>
      </w:r>
      <w:r>
        <w:rPr>
          <w:rFonts w:ascii="Times New Roman" w:hAnsi="Times New Roman" w:eastAsia="方正仿宋_GBK" w:cs="Times New Roman"/>
          <w:kern w:val="0"/>
          <w:sz w:val="30"/>
          <w:szCs w:val="30"/>
        </w:rPr>
        <w:t>第三部分）作为计算相关指标得分的最终依据。</w:t>
      </w:r>
    </w:p>
    <w:p>
      <w:pPr>
        <w:spacing w:line="540" w:lineRule="exact"/>
        <w:ind w:left="600" w:right="40"/>
        <w:jc w:val="left"/>
        <w:rPr>
          <w:rFonts w:ascii="Times New Roman" w:hAnsi="Times New Roman" w:eastAsia="方正仿宋_GBK" w:cs="Times New Roman"/>
          <w:kern w:val="0"/>
          <w:sz w:val="30"/>
          <w:szCs w:val="30"/>
        </w:rPr>
      </w:pPr>
      <w:r>
        <w:rPr>
          <w:rFonts w:ascii="Times New Roman" w:hAnsi="Times New Roman" w:eastAsia="方正仿宋_GBK" w:cs="Times New Roman"/>
          <w:kern w:val="0"/>
          <w:sz w:val="30"/>
          <w:szCs w:val="30"/>
        </w:rPr>
        <w:t xml:space="preserve">以下是 </w:t>
      </w:r>
      <w:r>
        <w:rPr>
          <w:rFonts w:ascii="Times New Roman" w:hAnsi="Times New Roman" w:eastAsia="Times New Roman" w:cs="Times New Roman"/>
          <w:kern w:val="0"/>
          <w:sz w:val="30"/>
          <w:szCs w:val="30"/>
        </w:rPr>
        <w:t>7</w:t>
      </w:r>
      <w:r>
        <w:rPr>
          <w:rFonts w:ascii="Times New Roman" w:hAnsi="Times New Roman" w:eastAsia="方正仿宋_GBK" w:cs="Times New Roman"/>
          <w:kern w:val="0"/>
          <w:sz w:val="30"/>
          <w:szCs w:val="30"/>
        </w:rPr>
        <w:t xml:space="preserve"> 项指标具体的计算方法： </w:t>
      </w:r>
    </w:p>
    <w:p>
      <w:pPr>
        <w:spacing w:line="540" w:lineRule="exact"/>
        <w:ind w:right="40"/>
        <w:jc w:val="left"/>
        <w:rPr>
          <w:rFonts w:ascii="Times New Roman" w:hAnsi="Times New Roman" w:eastAsia="方正仿宋_GBK" w:cs="Times New Roman"/>
          <w:kern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kern w:val="0"/>
          <w:sz w:val="30"/>
          <w:szCs w:val="30"/>
        </w:rPr>
        <w:t xml:space="preserve">    </w:t>
      </w:r>
      <w:r>
        <w:rPr>
          <w:rFonts w:ascii="Times New Roman" w:hAnsi="Times New Roman" w:eastAsia="方正仿宋_GBK" w:cs="Times New Roman"/>
          <w:kern w:val="0"/>
          <w:sz w:val="30"/>
          <w:szCs w:val="30"/>
        </w:rPr>
        <w:t>（一）“研发人员人均研发经费支出指标”数值，由“研究与试验发展经费支出”核定数据除以“研究与试验发展人员数”核定</w:t>
      </w:r>
      <w:bookmarkStart w:id="0" w:name="page2"/>
      <w:bookmarkEnd w:id="0"/>
      <w:r>
        <w:rPr>
          <w:rFonts w:ascii="Times New Roman" w:hAnsi="Times New Roman" w:eastAsia="方正仿宋_GBK" w:cs="Times New Roman"/>
          <w:kern w:val="0"/>
          <w:sz w:val="30"/>
          <w:szCs w:val="30"/>
        </w:rPr>
        <w:t xml:space="preserve">数据得到； </w:t>
      </w:r>
    </w:p>
    <w:p>
      <w:pPr>
        <w:spacing w:line="540" w:lineRule="exact"/>
        <w:ind w:right="160" w:firstLine="600" w:firstLineChars="200"/>
        <w:jc w:val="left"/>
        <w:rPr>
          <w:rFonts w:ascii="Times New Roman" w:hAnsi="Times New Roman" w:eastAsia="宋体" w:cs="Times New Roman"/>
          <w:kern w:val="0"/>
          <w:sz w:val="30"/>
          <w:szCs w:val="30"/>
        </w:rPr>
      </w:pPr>
      <w:r>
        <w:rPr>
          <w:rFonts w:ascii="Times New Roman" w:hAnsi="Times New Roman" w:eastAsia="方正仿宋_GBK" w:cs="Times New Roman"/>
          <w:kern w:val="0"/>
          <w:sz w:val="30"/>
          <w:szCs w:val="30"/>
        </w:rPr>
        <w:t>（二）“研发经费支出占主营业务收入的比重”数值，由“研究与试验发展经费支出”核定数据除以“主营业务收入”核定数据， 再乘以本企业所在行业的行业系数得到；</w:t>
      </w:r>
    </w:p>
    <w:p>
      <w:pPr>
        <w:spacing w:line="540" w:lineRule="exact"/>
        <w:ind w:right="160"/>
        <w:jc w:val="left"/>
        <w:rPr>
          <w:rFonts w:ascii="Times New Roman" w:hAnsi="Times New Roman" w:eastAsia="宋体" w:cs="Times New Roman"/>
          <w:kern w:val="0"/>
          <w:sz w:val="30"/>
          <w:szCs w:val="30"/>
        </w:rPr>
      </w:pPr>
      <w:r>
        <w:rPr>
          <w:rFonts w:ascii="Times New Roman" w:hAnsi="Times New Roman" w:eastAsia="宋体" w:cs="Times New Roman"/>
          <w:kern w:val="0"/>
          <w:sz w:val="30"/>
          <w:szCs w:val="30"/>
        </w:rPr>
        <w:t xml:space="preserve">    </w:t>
      </w:r>
      <w:r>
        <w:rPr>
          <w:rFonts w:ascii="Times New Roman" w:hAnsi="Times New Roman" w:eastAsia="方正仿宋_GBK" w:cs="Times New Roman"/>
          <w:kern w:val="0"/>
          <w:sz w:val="30"/>
          <w:szCs w:val="30"/>
        </w:rPr>
        <w:t>（三）“研发人员占职工总数的比重”数值，由“研究与试验发展人员数”核定数据除以“企业职工总数”核定数据得到；</w:t>
      </w:r>
    </w:p>
    <w:p>
      <w:pPr>
        <w:spacing w:line="540" w:lineRule="exact"/>
        <w:ind w:firstLine="600"/>
        <w:jc w:val="left"/>
        <w:rPr>
          <w:rFonts w:ascii="Times New Roman" w:hAnsi="Times New Roman" w:eastAsia="宋体" w:cs="Times New Roman"/>
          <w:kern w:val="0"/>
          <w:sz w:val="30"/>
          <w:szCs w:val="30"/>
        </w:rPr>
      </w:pPr>
      <w:r>
        <w:rPr>
          <w:rFonts w:ascii="Times New Roman" w:hAnsi="Times New Roman" w:eastAsia="方正仿宋_GBK" w:cs="Times New Roman"/>
          <w:kern w:val="0"/>
          <w:sz w:val="30"/>
          <w:szCs w:val="30"/>
        </w:rPr>
        <w:t>（四）“研发周期三年以上的项目数占全部研发项目数的比重” 数值，由“研发周期三年以上的项目数”核定数据除以“企业全部研发项目数”核定数据得到；</w:t>
      </w:r>
    </w:p>
    <w:p>
      <w:pPr>
        <w:spacing w:line="540" w:lineRule="exact"/>
        <w:ind w:right="160" w:firstLine="600"/>
        <w:rPr>
          <w:rFonts w:ascii="Times New Roman" w:hAnsi="Times New Roman" w:eastAsia="宋体" w:cs="Times New Roman"/>
          <w:kern w:val="0"/>
          <w:sz w:val="30"/>
          <w:szCs w:val="30"/>
        </w:rPr>
      </w:pPr>
      <w:r>
        <w:rPr>
          <w:rFonts w:ascii="Times New Roman" w:hAnsi="Times New Roman" w:eastAsia="方正仿宋_GBK" w:cs="Times New Roman"/>
          <w:kern w:val="0"/>
          <w:sz w:val="30"/>
          <w:szCs w:val="30"/>
        </w:rPr>
        <w:t>（五）“新产品销售收入占主营业务收入的比重”数值，由“新产品销售收入”核定数据除以“主营业务收入”核定数据，再乘以本企业所在行业的行业系数得到；</w:t>
      </w:r>
    </w:p>
    <w:p>
      <w:pPr>
        <w:spacing w:line="540" w:lineRule="exact"/>
        <w:ind w:right="160" w:firstLine="600"/>
        <w:rPr>
          <w:rFonts w:ascii="Times New Roman" w:hAnsi="Times New Roman" w:eastAsia="宋体" w:cs="Times New Roman"/>
          <w:kern w:val="0"/>
          <w:sz w:val="30"/>
          <w:szCs w:val="30"/>
        </w:rPr>
      </w:pPr>
      <w:r>
        <w:rPr>
          <w:rFonts w:ascii="Times New Roman" w:hAnsi="Times New Roman" w:eastAsia="方正仿宋_GBK" w:cs="Times New Roman"/>
          <w:kern w:val="0"/>
          <w:sz w:val="30"/>
          <w:szCs w:val="30"/>
        </w:rPr>
        <w:t>（六）“新产品销售利润占利润总额的比重”数值，由“新产品销售利润”核定数据除以“利润总额”核定数据，再乘以本企业所在行业的行业系数得到；</w:t>
      </w:r>
    </w:p>
    <w:p>
      <w:pPr>
        <w:widowControl/>
        <w:spacing w:line="540" w:lineRule="exact"/>
        <w:ind w:right="160" w:firstLine="600"/>
        <w:rPr>
          <w:rFonts w:ascii="Times New Roman" w:hAnsi="Times New Roman" w:eastAsia="宋体" w:cs="Times New Roman"/>
          <w:kern w:val="0"/>
          <w:sz w:val="30"/>
          <w:szCs w:val="30"/>
        </w:rPr>
      </w:pPr>
      <w:r>
        <w:rPr>
          <w:rFonts w:ascii="Times New Roman" w:hAnsi="Times New Roman" w:eastAsia="方正仿宋_GBK" w:cs="Times New Roman"/>
          <w:kern w:val="0"/>
          <w:sz w:val="30"/>
          <w:szCs w:val="30"/>
        </w:rPr>
        <w:t>（七）“利润率”数值，由“利润总额”核定数据除以“主营业务收入”核定数据得到。</w:t>
      </w:r>
    </w:p>
    <w:p>
      <w:pPr>
        <w:widowControl/>
        <w:spacing w:line="540" w:lineRule="exact"/>
        <w:ind w:left="600"/>
        <w:jc w:val="left"/>
        <w:rPr>
          <w:rFonts w:ascii="Times New Roman" w:hAnsi="Times New Roman" w:eastAsia="宋体" w:cs="Times New Roman"/>
          <w:kern w:val="0"/>
          <w:sz w:val="30"/>
          <w:szCs w:val="30"/>
        </w:rPr>
      </w:pPr>
      <w:r>
        <w:rPr>
          <w:rFonts w:ascii="Times New Roman" w:hAnsi="Times New Roman" w:eastAsia="方正黑体_GBK" w:cs="Times New Roman"/>
          <w:kern w:val="0"/>
          <w:sz w:val="30"/>
          <w:szCs w:val="30"/>
        </w:rPr>
        <w:t>三、得分计算方法</w:t>
      </w:r>
    </w:p>
    <w:p>
      <w:pPr>
        <w:widowControl/>
        <w:spacing w:line="540" w:lineRule="exact"/>
        <w:ind w:firstLine="600"/>
        <w:jc w:val="left"/>
        <w:rPr>
          <w:rFonts w:ascii="Times New Roman" w:hAnsi="Times New Roman" w:eastAsia="宋体" w:cs="Times New Roman"/>
          <w:kern w:val="0"/>
          <w:sz w:val="30"/>
          <w:szCs w:val="30"/>
        </w:rPr>
      </w:pPr>
      <w:r>
        <w:rPr>
          <w:rFonts w:ascii="Times New Roman" w:hAnsi="Times New Roman" w:eastAsia="方正仿宋_GBK" w:cs="Times New Roman"/>
          <w:kern w:val="0"/>
          <w:sz w:val="30"/>
          <w:szCs w:val="30"/>
        </w:rPr>
        <w:t>获得《江苏省省级企业技术中心评价指标体系》中各项指标的数值后，根据基本要求、满分要求以及相应的计算规则，计算出各项指标的得分，其总和就是该企业的评价得分。</w:t>
      </w:r>
    </w:p>
    <w:p>
      <w:pPr>
        <w:widowControl/>
        <w:spacing w:line="540" w:lineRule="exact"/>
        <w:ind w:left="600"/>
        <w:jc w:val="left"/>
        <w:rPr>
          <w:rFonts w:ascii="Times New Roman" w:hAnsi="Times New Roman" w:eastAsia="宋体" w:cs="Times New Roman"/>
          <w:kern w:val="0"/>
          <w:sz w:val="30"/>
          <w:szCs w:val="30"/>
        </w:rPr>
      </w:pPr>
      <w:r>
        <w:rPr>
          <w:rFonts w:ascii="Times New Roman" w:hAnsi="Times New Roman" w:eastAsia="方正楷体_GBK" w:cs="Times New Roman"/>
          <w:kern w:val="0"/>
          <w:sz w:val="30"/>
          <w:szCs w:val="30"/>
        </w:rPr>
        <w:t>（一）关于各项指标的基本要求和满分要求</w:t>
      </w:r>
    </w:p>
    <w:p>
      <w:pPr>
        <w:widowControl/>
        <w:spacing w:line="540" w:lineRule="exact"/>
        <w:ind w:right="160" w:firstLine="600"/>
        <w:jc w:val="left"/>
        <w:rPr>
          <w:rFonts w:ascii="Times New Roman" w:hAnsi="Times New Roman" w:eastAsia="方正仿宋_GBK" w:cs="Times New Roman"/>
          <w:kern w:val="0"/>
          <w:sz w:val="30"/>
          <w:szCs w:val="30"/>
        </w:rPr>
        <w:sectPr>
          <w:footerReference r:id="rId3" w:type="default"/>
          <w:pgSz w:w="11900" w:h="16838"/>
          <w:pgMar w:top="1440" w:right="1460" w:bottom="1129" w:left="1620" w:header="0" w:footer="0" w:gutter="0"/>
          <w:cols w:equalWidth="0" w:num="1">
            <w:col w:w="8820"/>
          </w:cols>
        </w:sectPr>
      </w:pPr>
      <w:r>
        <w:rPr>
          <w:rFonts w:ascii="Times New Roman" w:hAnsi="Times New Roman" w:eastAsia="方正仿宋_GBK" w:cs="Times New Roman"/>
          <w:kern w:val="0"/>
          <w:sz w:val="30"/>
          <w:szCs w:val="30"/>
        </w:rPr>
        <w:t>各项指标的基本要求、满分要求，由已认定省级企业技术中心 历史数据测算得到，并根据江苏省企业技术中心创新发展总体情况进行动态调整。当前基本要求、满分要求的数值见下表。</w:t>
      </w:r>
    </w:p>
    <w:p>
      <w:pPr>
        <w:widowControl/>
        <w:spacing w:line="540" w:lineRule="exact"/>
        <w:jc w:val="left"/>
        <w:rPr>
          <w:rFonts w:ascii="Times New Roman" w:hAnsi="Times New Roman" w:eastAsia="宋体" w:cs="Times New Roman"/>
          <w:kern w:val="0"/>
          <w:sz w:val="30"/>
          <w:szCs w:val="30"/>
        </w:rPr>
        <w:sectPr>
          <w:type w:val="continuous"/>
          <w:pgSz w:w="11900" w:h="16838"/>
          <w:pgMar w:top="1440" w:right="9440" w:bottom="1129" w:left="1620" w:header="0" w:footer="0" w:gutter="0"/>
          <w:cols w:equalWidth="0" w:num="1">
            <w:col w:w="840"/>
          </w:cols>
        </w:sectPr>
      </w:pPr>
    </w:p>
    <w:p>
      <w:pPr>
        <w:widowControl/>
        <w:ind w:left="2160"/>
        <w:jc w:val="left"/>
        <w:rPr>
          <w:rFonts w:ascii="Times New Roman" w:hAnsi="Times New Roman" w:eastAsia="宋体" w:cs="Times New Roman"/>
          <w:kern w:val="0"/>
          <w:sz w:val="20"/>
          <w:szCs w:val="20"/>
        </w:rPr>
      </w:pPr>
      <w:bookmarkStart w:id="1" w:name="page3"/>
      <w:bookmarkEnd w:id="1"/>
      <w:r>
        <w:rPr>
          <w:rFonts w:ascii="Times New Roman" w:hAnsi="Times New Roman" w:eastAsia="方正楷体_GBK" w:cs="Times New Roman"/>
          <w:kern w:val="0"/>
          <w:sz w:val="28"/>
          <w:szCs w:val="28"/>
        </w:rPr>
        <w:t>附表 各项指标基本要求和满分要求</w:t>
      </w:r>
    </w:p>
    <w:p>
      <w:pPr>
        <w:widowControl/>
        <w:spacing w:line="179" w:lineRule="exact"/>
        <w:jc w:val="left"/>
        <w:rPr>
          <w:rFonts w:ascii="Times New Roman" w:hAnsi="Times New Roman" w:eastAsia="宋体" w:cs="Times New Roman"/>
          <w:kern w:val="0"/>
          <w:sz w:val="20"/>
          <w:szCs w:val="20"/>
        </w:rPr>
      </w:pPr>
    </w:p>
    <w:tbl>
      <w:tblPr>
        <w:tblStyle w:val="4"/>
        <w:tblW w:w="878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566"/>
        <w:gridCol w:w="565"/>
        <w:gridCol w:w="4189"/>
        <w:gridCol w:w="840"/>
        <w:gridCol w:w="504"/>
        <w:gridCol w:w="850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</w:rPr>
              <w:t>一级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</w:rPr>
              <w:t>指标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</w:rPr>
              <w:t>二级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</w:rPr>
              <w:t>指标</w:t>
            </w:r>
          </w:p>
        </w:tc>
        <w:tc>
          <w:tcPr>
            <w:tcW w:w="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</w:rPr>
              <w:t>权重</w:t>
            </w:r>
          </w:p>
        </w:tc>
        <w:tc>
          <w:tcPr>
            <w:tcW w:w="4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</w:rPr>
              <w:t>三级指标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</w:rPr>
              <w:t>单位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</w:rPr>
              <w:t>权重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</w:rPr>
              <w:t>基本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</w:rPr>
              <w:t>要求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</w:rPr>
              <w:t>满分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2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创新</w:t>
            </w: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投入</w:t>
            </w:r>
          </w:p>
        </w:tc>
        <w:tc>
          <w:tcPr>
            <w:tcW w:w="5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创新</w:t>
            </w: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经费</w:t>
            </w:r>
          </w:p>
        </w:tc>
        <w:tc>
          <w:tcPr>
            <w:tcW w:w="5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21</w:t>
            </w:r>
          </w:p>
        </w:tc>
        <w:tc>
          <w:tcPr>
            <w:tcW w:w="4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1. 研发人员人均研发经费支出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万元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≥5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5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5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4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2. 研发经费支出占主营业务收入的比重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%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13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≥3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5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创新人才</w:t>
            </w:r>
          </w:p>
        </w:tc>
        <w:tc>
          <w:tcPr>
            <w:tcW w:w="5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15</w:t>
            </w:r>
          </w:p>
        </w:tc>
        <w:tc>
          <w:tcPr>
            <w:tcW w:w="4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3. 研发人员占企业职工总数的比重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%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≥3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5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5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4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4. 技术中心拥有的高级专家和博士人数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人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≥5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5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5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4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5. 来技术中心从事研发工作的外聘专家人数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人月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≥15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创新</w:t>
            </w: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条件</w:t>
            </w:r>
          </w:p>
        </w:tc>
        <w:tc>
          <w:tcPr>
            <w:tcW w:w="5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技术</w:t>
            </w: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积累</w:t>
            </w:r>
          </w:p>
        </w:tc>
        <w:tc>
          <w:tcPr>
            <w:tcW w:w="5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14</w:t>
            </w:r>
          </w:p>
        </w:tc>
        <w:tc>
          <w:tcPr>
            <w:tcW w:w="4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6. 企业拥有的全部有效专利数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件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≥10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5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565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4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7. 企业拥有的全部有效发明专利数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件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≥2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5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5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4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8. 企业全部研发项目数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项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≥10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5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5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4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9. 研发周期三年以上的项目数占全部研发项目数的比重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%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≥10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5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创新</w:t>
            </w: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平台</w:t>
            </w:r>
          </w:p>
        </w:tc>
        <w:tc>
          <w:tcPr>
            <w:tcW w:w="5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11</w:t>
            </w:r>
          </w:p>
        </w:tc>
        <w:tc>
          <w:tcPr>
            <w:tcW w:w="4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10.企业技术开发仪器设备原值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万元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≥1000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2500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5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5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4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11.省级以上研发平台数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个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3</w:t>
            </w:r>
          </w:p>
        </w:tc>
        <w:tc>
          <w:tcPr>
            <w:tcW w:w="850" w:type="dxa"/>
            <w:tcBorders>
              <w:top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≥1</w:t>
            </w:r>
          </w:p>
        </w:tc>
        <w:tc>
          <w:tcPr>
            <w:tcW w:w="709" w:type="dxa"/>
            <w:tcBorders>
              <w:top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分档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5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5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4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12.通过国家（国际组织）、省认证的实验室和检测机构数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个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≥1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创新</w:t>
            </w: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绩效</w:t>
            </w:r>
          </w:p>
        </w:tc>
        <w:tc>
          <w:tcPr>
            <w:tcW w:w="5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技术</w:t>
            </w: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产出</w:t>
            </w:r>
          </w:p>
        </w:tc>
        <w:tc>
          <w:tcPr>
            <w:tcW w:w="5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12</w:t>
            </w:r>
          </w:p>
        </w:tc>
        <w:tc>
          <w:tcPr>
            <w:tcW w:w="4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13.当年被受理的专利申请数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件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≥2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5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5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4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14.当年被受理的发明专利申请数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件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≥1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5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5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4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15.最近三年主持和参加制定的国际、国家、行业和团体标准数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项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≥1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5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创新效益</w:t>
            </w:r>
          </w:p>
        </w:tc>
        <w:tc>
          <w:tcPr>
            <w:tcW w:w="5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27</w:t>
            </w:r>
          </w:p>
        </w:tc>
        <w:tc>
          <w:tcPr>
            <w:tcW w:w="4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16.新产品销售收入占主营业务收入的比重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%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11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≥20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5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56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4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17.新产品销售利润占利润总额的比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%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11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≥15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5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5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</w:p>
        </w:tc>
        <w:tc>
          <w:tcPr>
            <w:tcW w:w="4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18.销售利润率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%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≥2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加分项</w:t>
            </w:r>
          </w:p>
        </w:tc>
        <w:tc>
          <w:tcPr>
            <w:tcW w:w="5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2</w:t>
            </w:r>
          </w:p>
        </w:tc>
        <w:tc>
          <w:tcPr>
            <w:tcW w:w="4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19.获国家和省科技奖励项目数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项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≤2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</w:rPr>
              <w:t>分档</w:t>
            </w:r>
          </w:p>
        </w:tc>
      </w:tr>
    </w:tbl>
    <w:p>
      <w:pPr>
        <w:widowControl/>
        <w:jc w:val="left"/>
        <w:rPr>
          <w:rFonts w:ascii="Times New Roman" w:hAnsi="Times New Roman" w:eastAsia="宋体" w:cs="Times New Roman"/>
          <w:kern w:val="0"/>
          <w:sz w:val="22"/>
        </w:rPr>
        <w:sectPr>
          <w:pgSz w:w="11900" w:h="16838"/>
          <w:pgMar w:top="1440" w:right="1700" w:bottom="1440" w:left="1620" w:header="0" w:footer="0" w:gutter="0"/>
          <w:cols w:equalWidth="0" w:num="1">
            <w:col w:w="8580"/>
          </w:cols>
        </w:sectPr>
      </w:pPr>
    </w:p>
    <w:p>
      <w:pPr>
        <w:overflowPunct w:val="0"/>
        <w:snapToGrid w:val="0"/>
        <w:ind w:firstLine="482"/>
        <w:jc w:val="left"/>
        <w:rPr>
          <w:rFonts w:ascii="Times New Roman" w:hAnsi="Times New Roman" w:eastAsia="方正仿宋_GBK" w:cs="Times New Roman"/>
          <w:b/>
          <w:sz w:val="24"/>
          <w:szCs w:val="44"/>
        </w:rPr>
      </w:pPr>
      <w:r>
        <w:rPr>
          <w:rFonts w:ascii="Times New Roman" w:hAnsi="Times New Roman" w:eastAsia="方正仿宋_GBK" w:cs="Times New Roman"/>
          <w:b/>
          <w:sz w:val="24"/>
          <w:szCs w:val="44"/>
        </w:rPr>
        <w:t>指标说明：</w:t>
      </w:r>
    </w:p>
    <w:p>
      <w:pPr>
        <w:overflowPunct w:val="0"/>
        <w:snapToGrid w:val="0"/>
        <w:ind w:firstLine="482"/>
        <w:jc w:val="left"/>
        <w:rPr>
          <w:rFonts w:ascii="Times New Roman" w:hAnsi="Times New Roman" w:eastAsia="方正楷体_GBK" w:cs="Times New Roman"/>
          <w:b/>
          <w:kern w:val="0"/>
          <w:sz w:val="24"/>
          <w:szCs w:val="28"/>
        </w:rPr>
      </w:pPr>
      <w:r>
        <w:rPr>
          <w:rFonts w:ascii="Times New Roman" w:hAnsi="Times New Roman" w:eastAsia="方正楷体_GBK" w:cs="Times New Roman"/>
          <w:b/>
          <w:kern w:val="0"/>
          <w:sz w:val="24"/>
          <w:szCs w:val="28"/>
        </w:rPr>
        <w:t>11.省级以上研发平台数：</w:t>
      </w:r>
      <w:r>
        <w:rPr>
          <w:rFonts w:ascii="Times New Roman" w:hAnsi="Times New Roman" w:eastAsia="方正仿宋_GBK" w:cs="Times New Roman"/>
          <w:kern w:val="0"/>
          <w:sz w:val="24"/>
          <w:szCs w:val="28"/>
        </w:rPr>
        <w:t>企业获国家级研发平台数，每个加2分；获江苏省级研发平台数，每个加1分。</w:t>
      </w:r>
    </w:p>
    <w:p>
      <w:pPr>
        <w:overflowPunct w:val="0"/>
        <w:snapToGrid w:val="0"/>
        <w:ind w:firstLine="482"/>
        <w:rPr>
          <w:rFonts w:ascii="Times New Roman" w:hAnsi="Times New Roman" w:eastAsia="方正仿宋_GBK" w:cs="Times New Roman"/>
          <w:kern w:val="0"/>
          <w:sz w:val="24"/>
          <w:szCs w:val="28"/>
        </w:rPr>
      </w:pPr>
      <w:r>
        <w:rPr>
          <w:rFonts w:ascii="Times New Roman" w:hAnsi="Times New Roman" w:eastAsia="方正楷体_GBK" w:cs="Times New Roman"/>
          <w:b/>
          <w:kern w:val="0"/>
          <w:sz w:val="24"/>
          <w:szCs w:val="28"/>
        </w:rPr>
        <w:t>17.新产品销售利润占利润总额的比重：</w:t>
      </w:r>
      <w:r>
        <w:rPr>
          <w:rFonts w:ascii="Times New Roman" w:hAnsi="Times New Roman" w:eastAsia="方正仿宋_GBK" w:cs="Times New Roman"/>
          <w:kern w:val="0"/>
          <w:sz w:val="24"/>
          <w:szCs w:val="28"/>
        </w:rPr>
        <w:t>当新产品销售利润≤0时，该项得分为0分；当新产品销售利润＞0且利润总额≤0时，该项得分为6分；其他情况按照指标得分计算规则评分。</w:t>
      </w:r>
    </w:p>
    <w:p>
      <w:pPr>
        <w:overflowPunct w:val="0"/>
        <w:snapToGrid w:val="0"/>
        <w:ind w:firstLine="482"/>
        <w:rPr>
          <w:rFonts w:ascii="Times New Roman" w:hAnsi="Times New Roman" w:eastAsia="方正仿宋_GBK" w:cs="Times New Roman"/>
          <w:kern w:val="0"/>
          <w:sz w:val="24"/>
          <w:szCs w:val="28"/>
        </w:rPr>
      </w:pPr>
      <w:r>
        <w:rPr>
          <w:rFonts w:ascii="Times New Roman" w:hAnsi="Times New Roman" w:eastAsia="方正楷体_GBK" w:cs="Times New Roman"/>
          <w:b/>
          <w:kern w:val="0"/>
          <w:sz w:val="24"/>
          <w:szCs w:val="28"/>
        </w:rPr>
        <w:t>18.销售利润率：</w:t>
      </w:r>
      <w:r>
        <w:rPr>
          <w:rFonts w:ascii="Times New Roman" w:hAnsi="Times New Roman" w:eastAsia="方正仿宋_GBK" w:cs="Times New Roman"/>
          <w:kern w:val="0"/>
          <w:sz w:val="24"/>
          <w:szCs w:val="28"/>
        </w:rPr>
        <w:t>当利润总额≤0时，该项得分为0分；其他情况按照指标得分计算规则评分。</w:t>
      </w:r>
    </w:p>
    <w:p>
      <w:pPr>
        <w:overflowPunct w:val="0"/>
        <w:snapToGrid w:val="0"/>
        <w:ind w:firstLine="482"/>
        <w:rPr>
          <w:rFonts w:ascii="Times New Roman" w:hAnsi="Times New Roman" w:eastAsia="方正仿宋_GBK" w:cs="Times New Roman"/>
          <w:kern w:val="0"/>
          <w:sz w:val="24"/>
          <w:szCs w:val="28"/>
        </w:rPr>
      </w:pPr>
      <w:r>
        <w:rPr>
          <w:rFonts w:ascii="Times New Roman" w:hAnsi="Times New Roman" w:eastAsia="方正楷体_GBK" w:cs="Times New Roman"/>
          <w:b/>
          <w:kern w:val="0"/>
          <w:sz w:val="24"/>
          <w:szCs w:val="28"/>
        </w:rPr>
        <w:t>19.获国家和省科技奖励项目数：</w:t>
      </w:r>
      <w:r>
        <w:rPr>
          <w:rFonts w:ascii="Times New Roman" w:hAnsi="Times New Roman" w:eastAsia="方正仿宋_GBK" w:cs="Times New Roman"/>
          <w:kern w:val="0"/>
          <w:sz w:val="24"/>
          <w:szCs w:val="28"/>
        </w:rPr>
        <w:t>企业作为主要完成单位或企业员工作为主要完成人获国家科技奖励，加2分；获江苏省科技奖励，每项加1分。</w:t>
      </w:r>
    </w:p>
    <w:p>
      <w:pPr>
        <w:widowControl/>
        <w:rPr>
          <w:rFonts w:ascii="Times New Roman" w:hAnsi="Times New Roman" w:eastAsia="宋体" w:cs="Times New Roman"/>
        </w:rPr>
      </w:pPr>
    </w:p>
    <w:p>
      <w:pPr>
        <w:widowControl/>
        <w:spacing w:line="239" w:lineRule="auto"/>
        <w:ind w:left="600"/>
        <w:jc w:val="left"/>
        <w:rPr>
          <w:rFonts w:ascii="Times New Roman" w:hAnsi="Times New Roman" w:eastAsia="方正楷体_GBK" w:cs="Times New Roman"/>
          <w:kern w:val="0"/>
          <w:sz w:val="30"/>
          <w:szCs w:val="30"/>
        </w:rPr>
      </w:pPr>
      <w:r>
        <w:rPr>
          <w:rFonts w:ascii="Times New Roman" w:hAnsi="Times New Roman" w:eastAsia="方正楷体_GBK" w:cs="Times New Roman"/>
          <w:kern w:val="0"/>
          <w:sz w:val="30"/>
          <w:szCs w:val="30"/>
        </w:rPr>
        <w:t>(二)指标得分计算规则</w:t>
      </w:r>
    </w:p>
    <w:p>
      <w:pPr>
        <w:widowControl/>
        <w:ind w:firstLine="640" w:firstLineChars="200"/>
        <w:jc w:val="left"/>
        <w:rPr>
          <w:rFonts w:ascii="Times New Roman" w:hAnsi="Times New Roman" w:eastAsia="黑体" w:cs="Times New Roman"/>
          <w:sz w:val="32"/>
          <w:szCs w:val="32"/>
        </w:rPr>
      </w:pPr>
    </w:p>
    <w:p>
      <w:pPr>
        <w:widowControl/>
        <w:snapToGrid w:val="0"/>
        <w:jc w:val="center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drawing>
          <wp:inline distT="0" distB="0" distL="0" distR="0">
            <wp:extent cx="4648200" cy="2649855"/>
            <wp:effectExtent l="0" t="0" r="0" b="0"/>
            <wp:docPr id="1" name="图片 1" descr="C:\Users\ZhangHui\AppData\Local\Temp\1569162627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ZhangHui\AppData\Local\Temp\1569162627(1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0951" cy="265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napToGrid w:val="0"/>
        <w:jc w:val="center"/>
        <w:rPr>
          <w:rFonts w:ascii="Times New Roman" w:hAnsi="Times New Roman" w:eastAsia="方正黑体_GBK" w:cs="Times New Roman"/>
          <w:b/>
          <w:sz w:val="28"/>
          <w:szCs w:val="28"/>
        </w:rPr>
      </w:pPr>
      <w:r>
        <w:rPr>
          <w:rFonts w:ascii="Times New Roman" w:hAnsi="Times New Roman" w:eastAsia="方正黑体_GBK" w:cs="Times New Roman"/>
          <w:kern w:val="0"/>
          <w:sz w:val="28"/>
          <w:szCs w:val="28"/>
        </w:rPr>
        <w:t>分段线性插值算法示意图</w:t>
      </w:r>
    </w:p>
    <w:p>
      <w:pPr>
        <w:widowControl/>
        <w:spacing w:line="388" w:lineRule="auto"/>
        <w:ind w:right="160" w:firstLine="600"/>
        <w:jc w:val="left"/>
        <w:rPr>
          <w:rFonts w:ascii="Times New Roman" w:hAnsi="Times New Roman" w:eastAsia="方正仿宋_GBK" w:cs="Times New Roman"/>
          <w:kern w:val="0"/>
          <w:sz w:val="28"/>
          <w:szCs w:val="28"/>
        </w:rPr>
      </w:pPr>
      <w:r>
        <w:rPr>
          <w:rFonts w:ascii="Times New Roman" w:hAnsi="Times New Roman" w:eastAsia="方正仿宋_GBK" w:cs="Times New Roman"/>
          <w:kern w:val="0"/>
          <w:sz w:val="28"/>
          <w:szCs w:val="28"/>
        </w:rPr>
        <w:t>1．指标数值大于或等于满分要求时，指标得分为满分，即指标得分等于上表中的权重；</w:t>
      </w:r>
    </w:p>
    <w:p>
      <w:pPr>
        <w:widowControl/>
        <w:spacing w:line="388" w:lineRule="auto"/>
        <w:ind w:right="160" w:firstLine="600"/>
        <w:jc w:val="left"/>
        <w:rPr>
          <w:rFonts w:ascii="Times New Roman" w:hAnsi="Times New Roman" w:eastAsia="方正仿宋_GBK" w:cs="Times New Roman"/>
          <w:kern w:val="0"/>
          <w:sz w:val="28"/>
          <w:szCs w:val="28"/>
        </w:rPr>
      </w:pPr>
      <w:r>
        <w:rPr>
          <w:rFonts w:ascii="Times New Roman" w:hAnsi="Times New Roman" w:eastAsia="方正仿宋_GBK" w:cs="Times New Roman"/>
          <w:kern w:val="0"/>
          <w:sz w:val="28"/>
          <w:szCs w:val="28"/>
        </w:rPr>
        <w:t>2．指标数值等于基本要求时，指标得分为权重的60%；</w:t>
      </w:r>
    </w:p>
    <w:p>
      <w:pPr>
        <w:widowControl/>
        <w:spacing w:line="388" w:lineRule="auto"/>
        <w:ind w:right="160" w:firstLine="600"/>
        <w:jc w:val="left"/>
        <w:rPr>
          <w:rFonts w:ascii="Times New Roman" w:hAnsi="Times New Roman" w:eastAsia="方正仿宋_GBK" w:cs="Times New Roman"/>
          <w:kern w:val="0"/>
          <w:sz w:val="28"/>
          <w:szCs w:val="28"/>
        </w:rPr>
      </w:pPr>
      <w:r>
        <w:rPr>
          <w:rFonts w:ascii="Times New Roman" w:hAnsi="Times New Roman" w:eastAsia="方正仿宋_GBK" w:cs="Times New Roman"/>
          <w:kern w:val="0"/>
          <w:sz w:val="28"/>
          <w:szCs w:val="28"/>
        </w:rPr>
        <w:t>3．指标数值为0 时，指标得分为0；</w:t>
      </w:r>
    </w:p>
    <w:p>
      <w:pPr>
        <w:widowControl/>
        <w:spacing w:line="388" w:lineRule="auto"/>
        <w:ind w:right="160" w:firstLine="600"/>
        <w:jc w:val="left"/>
        <w:rPr>
          <w:rFonts w:ascii="Times New Roman" w:hAnsi="Times New Roman" w:eastAsia="方正仿宋_GBK" w:cs="Times New Roman"/>
          <w:kern w:val="0"/>
          <w:sz w:val="28"/>
          <w:szCs w:val="28"/>
        </w:rPr>
      </w:pPr>
      <w:r>
        <w:rPr>
          <w:rFonts w:ascii="Times New Roman" w:hAnsi="Times New Roman" w:eastAsia="方正仿宋_GBK" w:cs="Times New Roman"/>
          <w:kern w:val="0"/>
          <w:sz w:val="28"/>
          <w:szCs w:val="28"/>
        </w:rPr>
        <w:t>4．指标数值处于0 和基本要求之间时，指标得分按线性插值的方法计算，具体计算公式为：</w:t>
      </w:r>
    </w:p>
    <w:p>
      <w:pPr>
        <w:widowControl/>
        <w:snapToGrid w:val="0"/>
        <w:jc w:val="center"/>
        <w:rPr>
          <w:rFonts w:ascii="Times New Roman" w:hAnsi="Times New Roman" w:eastAsia="方正黑体_GBK" w:cs="Times New Roman"/>
          <w:kern w:val="0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 w:eastAsia="方正黑体_GBK" w:cs="Times New Roman"/>
              <w:kern w:val="0"/>
              <w:sz w:val="28"/>
              <w:szCs w:val="28"/>
            </w:rPr>
            <m:t>指标得分=</m:t>
          </m:r>
          <m:f>
            <m:fPr>
              <m:ctrlPr>
                <w:rPr>
                  <w:rFonts w:ascii="Cambria Math" w:hAnsi="Cambria Math" w:eastAsia="方正黑体_GBK" w:cs="Times New Roman"/>
                  <w:kern w:val="0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eastAsia="方正黑体_GBK" w:cs="Times New Roman"/>
                  <w:kern w:val="0"/>
                  <w:sz w:val="28"/>
                  <w:szCs w:val="28"/>
                </w:rPr>
                <m:t>指标数值</m:t>
              </m:r>
              <m:ctrlPr>
                <w:rPr>
                  <w:rFonts w:ascii="Cambria Math" w:hAnsi="Cambria Math" w:eastAsia="方正黑体_GBK" w:cs="Times New Roman"/>
                  <w:kern w:val="0"/>
                  <w:sz w:val="28"/>
                  <w:szCs w:val="28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 w:eastAsia="方正黑体_GBK" w:cs="Times New Roman"/>
                  <w:kern w:val="0"/>
                  <w:sz w:val="28"/>
                  <w:szCs w:val="28"/>
                </w:rPr>
                <m:t>基本要求</m:t>
              </m:r>
              <m:ctrlPr>
                <w:rPr>
                  <w:rFonts w:ascii="Cambria Math" w:hAnsi="Cambria Math" w:eastAsia="方正黑体_GBK" w:cs="Times New Roman"/>
                  <w:kern w:val="0"/>
                  <w:sz w:val="28"/>
                  <w:szCs w:val="28"/>
                </w:rPr>
              </m:ctrlPr>
            </m:den>
          </m:f>
          <m:r>
            <m:rPr>
              <m:sty m:val="p"/>
            </m:rPr>
            <w:rPr>
              <w:rFonts w:ascii="Cambria Math" w:hAnsi="Cambria Math" w:eastAsia="方正黑体_GBK" w:cs="Times New Roman"/>
              <w:kern w:val="0"/>
              <w:sz w:val="28"/>
              <w:szCs w:val="28"/>
            </w:rPr>
            <m:t>×权重的60%</m:t>
          </m:r>
        </m:oMath>
      </m:oMathPara>
    </w:p>
    <w:p>
      <w:pPr>
        <w:widowControl/>
        <w:spacing w:line="388" w:lineRule="auto"/>
        <w:ind w:right="160" w:firstLine="600"/>
        <w:jc w:val="left"/>
        <w:rPr>
          <w:rFonts w:ascii="Times New Roman" w:hAnsi="Times New Roman" w:eastAsia="方正仿宋_GBK" w:cs="Times New Roman"/>
          <w:kern w:val="0"/>
          <w:sz w:val="28"/>
          <w:szCs w:val="28"/>
        </w:rPr>
      </w:pPr>
      <w:r>
        <w:rPr>
          <w:rFonts w:ascii="Times New Roman" w:hAnsi="Times New Roman" w:eastAsia="方正仿宋_GBK" w:cs="Times New Roman"/>
          <w:kern w:val="0"/>
          <w:sz w:val="28"/>
          <w:szCs w:val="28"/>
        </w:rPr>
        <w:t>5．指标数值处于基本要求和满分要求之间时，指标得分按线性插值的方法计算，具体计算公式为：</w:t>
      </w:r>
    </w:p>
    <w:p>
      <w:pPr>
        <w:widowControl/>
        <w:snapToGrid w:val="0"/>
        <w:jc w:val="center"/>
        <w:rPr>
          <w:rFonts w:ascii="Times New Roman" w:hAnsi="Times New Roman" w:eastAsia="方正仿宋_GBK" w:cs="Times New Roman"/>
          <w:kern w:val="0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 w:eastAsia="方正黑体_GBK" w:cs="Times New Roman"/>
              <w:kern w:val="0"/>
              <w:sz w:val="28"/>
              <w:szCs w:val="28"/>
            </w:rPr>
            <m:t>指标得分=</m:t>
          </m:r>
          <m:f>
            <m:fPr>
              <m:ctrlPr>
                <w:rPr>
                  <w:rFonts w:ascii="Cambria Math" w:hAnsi="Cambria Math" w:eastAsia="方正黑体_GBK" w:cs="Times New Roman"/>
                  <w:kern w:val="0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eastAsia="方正黑体_GBK" w:cs="Times New Roman"/>
                  <w:kern w:val="0"/>
                  <w:sz w:val="28"/>
                  <w:szCs w:val="28"/>
                </w:rPr>
                <m:t>指标数值</m:t>
              </m:r>
              <m:r>
                <m:rPr>
                  <m:sty m:val="p"/>
                </m:rPr>
                <w:rPr>
                  <w:rFonts w:ascii="Cambria Math" w:hAnsi="Cambria Math" w:eastAsia="微软雅黑" w:cs="Times New Roman"/>
                  <w:kern w:val="0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eastAsia="方正黑体_GBK" w:cs="Times New Roman"/>
                  <w:kern w:val="0"/>
                  <w:sz w:val="28"/>
                  <w:szCs w:val="28"/>
                </w:rPr>
                <m:t>基本要求</m:t>
              </m:r>
              <m:ctrlPr>
                <w:rPr>
                  <w:rFonts w:ascii="Cambria Math" w:hAnsi="Cambria Math" w:eastAsia="方正黑体_GBK" w:cs="Times New Roman"/>
                  <w:kern w:val="0"/>
                  <w:sz w:val="28"/>
                  <w:szCs w:val="28"/>
                </w:rPr>
              </m:ctrlPr>
            </m:num>
            <m:den>
              <m:r>
                <m:rPr>
                  <m:sty m:val="p"/>
                </m:rPr>
                <w:rPr>
                  <w:rFonts w:ascii="Cambria Math" w:hAnsi="Cambria Math" w:eastAsia="方正黑体_GBK" w:cs="Times New Roman"/>
                  <w:kern w:val="0"/>
                  <w:sz w:val="28"/>
                  <w:szCs w:val="28"/>
                </w:rPr>
                <m:t>满分要求</m:t>
              </m:r>
              <m:r>
                <m:rPr>
                  <m:sty m:val="p"/>
                </m:rPr>
                <w:rPr>
                  <w:rFonts w:ascii="Cambria Math" w:hAnsi="Cambria Math" w:eastAsia="微软雅黑" w:cs="Times New Roman"/>
                  <w:kern w:val="0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eastAsia="方正黑体_GBK" w:cs="Times New Roman"/>
                  <w:kern w:val="0"/>
                  <w:sz w:val="28"/>
                  <w:szCs w:val="28"/>
                </w:rPr>
                <m:t>基本要求</m:t>
              </m:r>
              <m:ctrlPr>
                <w:rPr>
                  <w:rFonts w:ascii="Cambria Math" w:hAnsi="Cambria Math" w:eastAsia="方正黑体_GBK" w:cs="Times New Roman"/>
                  <w:kern w:val="0"/>
                  <w:sz w:val="28"/>
                  <w:szCs w:val="28"/>
                </w:rPr>
              </m:ctrlPr>
            </m:den>
          </m:f>
          <m:r>
            <m:rPr>
              <m:sty m:val="p"/>
            </m:rPr>
            <w:rPr>
              <w:rFonts w:ascii="Cambria Math" w:hAnsi="Cambria Math" w:eastAsia="方正黑体_GBK" w:cs="Times New Roman"/>
              <w:kern w:val="0"/>
              <w:sz w:val="28"/>
              <w:szCs w:val="28"/>
            </w:rPr>
            <m:t>×权重的40%+权重的60%</m:t>
          </m:r>
        </m:oMath>
      </m:oMathPara>
    </w:p>
    <w:p>
      <w:pPr>
        <w:widowControl/>
        <w:snapToGrid w:val="0"/>
        <w:spacing w:line="360" w:lineRule="auto"/>
        <w:ind w:left="944" w:leftChars="271" w:hanging="375" w:hangingChars="134"/>
        <w:rPr>
          <w:rFonts w:ascii="Times New Roman" w:hAnsi="Times New Roman" w:eastAsia="宋体" w:cs="Times New Roman"/>
          <w:kern w:val="0"/>
          <w:sz w:val="28"/>
          <w:szCs w:val="28"/>
        </w:rPr>
      </w:pPr>
    </w:p>
    <w:p>
      <w:pPr>
        <w:widowControl/>
        <w:spacing w:line="239" w:lineRule="auto"/>
        <w:ind w:left="600"/>
        <w:jc w:val="left"/>
        <w:rPr>
          <w:rFonts w:ascii="Times New Roman" w:hAnsi="Times New Roman" w:eastAsia="方正楷体_GBK" w:cs="Times New Roman"/>
          <w:kern w:val="0"/>
          <w:sz w:val="30"/>
          <w:szCs w:val="30"/>
        </w:rPr>
      </w:pPr>
      <w:r>
        <w:rPr>
          <w:rFonts w:ascii="Times New Roman" w:hAnsi="Times New Roman" w:eastAsia="方正楷体_GBK" w:cs="Times New Roman"/>
          <w:kern w:val="0"/>
          <w:sz w:val="30"/>
          <w:szCs w:val="30"/>
        </w:rPr>
        <w:t>(三)《评价指标体系》行业系数</w:t>
      </w:r>
    </w:p>
    <w:p>
      <w:pPr>
        <w:widowControl/>
        <w:snapToGrid w:val="0"/>
        <w:ind w:firstLine="560" w:firstLineChars="200"/>
        <w:jc w:val="left"/>
        <w:rPr>
          <w:rFonts w:ascii="Times New Roman" w:hAnsi="Times New Roman" w:eastAsia="黑体" w:cs="Times New Roman"/>
          <w:sz w:val="28"/>
          <w:szCs w:val="28"/>
        </w:rPr>
      </w:pPr>
    </w:p>
    <w:tbl>
      <w:tblPr>
        <w:tblStyle w:val="4"/>
        <w:tblW w:w="892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2551"/>
        <w:gridCol w:w="2556"/>
        <w:gridCol w:w="240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  <w:jc w:val="center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行业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ind w:left="-111" w:leftChars="-53" w:right="-101" w:rightChars="-48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</w:rPr>
              <w:t>研发经费支出额占产品销售收入的比重</w:t>
            </w:r>
          </w:p>
        </w:tc>
        <w:tc>
          <w:tcPr>
            <w:tcW w:w="2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ind w:left="-111" w:leftChars="-53" w:right="-101" w:rightChars="-48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</w:rPr>
              <w:t>新产品销售收入占产品销售收入的比重</w:t>
            </w:r>
          </w:p>
        </w:tc>
        <w:tc>
          <w:tcPr>
            <w:tcW w:w="2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ind w:left="-111" w:leftChars="-53" w:right="-101" w:rightChars="-48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</w:rPr>
              <w:t>新产品销售利润占产品销售利润的比重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1163"/>
              </w:tabs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</w:rPr>
              <w:t>电子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bidi="ar"/>
              </w:rPr>
              <w:t>0.8</w:t>
            </w:r>
          </w:p>
        </w:tc>
        <w:tc>
          <w:tcPr>
            <w:tcW w:w="2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bidi="ar"/>
              </w:rPr>
              <w:t>0.8</w:t>
            </w:r>
          </w:p>
        </w:tc>
        <w:tc>
          <w:tcPr>
            <w:tcW w:w="2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bidi="ar"/>
              </w:rPr>
              <w:t>0.8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</w:rPr>
              <w:t>轻工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Ⅰ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bidi="ar"/>
              </w:rPr>
              <w:t>0.8</w:t>
            </w:r>
          </w:p>
        </w:tc>
        <w:tc>
          <w:tcPr>
            <w:tcW w:w="2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bidi="ar"/>
              </w:rPr>
              <w:t>0.8</w:t>
            </w:r>
          </w:p>
        </w:tc>
        <w:tc>
          <w:tcPr>
            <w:tcW w:w="2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bidi="ar"/>
              </w:rPr>
              <w:t>0.8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</w:rPr>
              <w:t>轻工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Ⅱ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bidi="ar"/>
              </w:rPr>
              <w:t>1.2</w:t>
            </w:r>
          </w:p>
        </w:tc>
        <w:tc>
          <w:tcPr>
            <w:tcW w:w="2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2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bidi="ar"/>
              </w:rPr>
              <w:t>1.2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</w:rPr>
              <w:t>化工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2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2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</w:rPr>
              <w:t>机械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2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2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</w:rPr>
              <w:t>医药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bidi="ar"/>
              </w:rPr>
              <w:t>0.8</w:t>
            </w:r>
          </w:p>
        </w:tc>
        <w:tc>
          <w:tcPr>
            <w:tcW w:w="2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bidi="ar"/>
              </w:rPr>
              <w:t>0.8</w:t>
            </w:r>
          </w:p>
        </w:tc>
        <w:tc>
          <w:tcPr>
            <w:tcW w:w="2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bidi="ar"/>
              </w:rPr>
              <w:t>0.8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</w:rPr>
              <w:t>冶金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bidi="ar"/>
              </w:rPr>
              <w:t>1.2</w:t>
            </w:r>
          </w:p>
        </w:tc>
        <w:tc>
          <w:tcPr>
            <w:tcW w:w="2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bidi="ar"/>
              </w:rPr>
              <w:t>1.2</w:t>
            </w:r>
          </w:p>
        </w:tc>
        <w:tc>
          <w:tcPr>
            <w:tcW w:w="2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bidi="ar"/>
              </w:rPr>
              <w:t>1.2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</w:rPr>
              <w:t>纺织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bidi="ar"/>
              </w:rPr>
              <w:t>1.2</w:t>
            </w:r>
          </w:p>
        </w:tc>
        <w:tc>
          <w:tcPr>
            <w:tcW w:w="2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2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</w:rPr>
              <w:t>建材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2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bidi="ar"/>
              </w:rPr>
              <w:t>0.8</w:t>
            </w:r>
          </w:p>
        </w:tc>
        <w:tc>
          <w:tcPr>
            <w:tcW w:w="2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bidi="ar"/>
              </w:rPr>
              <w:t>0.8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</w:rPr>
              <w:t>有色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bidi="ar"/>
              </w:rPr>
              <w:t>1</w:t>
            </w:r>
          </w:p>
        </w:tc>
        <w:tc>
          <w:tcPr>
            <w:tcW w:w="2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bidi="ar"/>
              </w:rPr>
              <w:t>1.4</w:t>
            </w:r>
          </w:p>
        </w:tc>
        <w:tc>
          <w:tcPr>
            <w:tcW w:w="2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bidi="ar"/>
              </w:rPr>
              <w:t>1.4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4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4"/>
                <w:szCs w:val="24"/>
              </w:rPr>
              <w:t>石化</w:t>
            </w:r>
          </w:p>
        </w:tc>
        <w:tc>
          <w:tcPr>
            <w:tcW w:w="2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bidi="ar"/>
              </w:rPr>
              <w:t>2</w:t>
            </w:r>
          </w:p>
        </w:tc>
        <w:tc>
          <w:tcPr>
            <w:tcW w:w="2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bidi="ar"/>
              </w:rPr>
              <w:t>1.2</w:t>
            </w:r>
          </w:p>
        </w:tc>
        <w:tc>
          <w:tcPr>
            <w:tcW w:w="24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sz w:val="22"/>
              </w:rPr>
            </w:pPr>
            <w:r>
              <w:rPr>
                <w:rFonts w:ascii="Times New Roman" w:hAnsi="Times New Roman" w:eastAsia="宋体" w:cs="Times New Roman"/>
                <w:kern w:val="0"/>
                <w:sz w:val="22"/>
                <w:lang w:bidi="ar"/>
              </w:rPr>
              <w:t>1.2</w:t>
            </w:r>
          </w:p>
        </w:tc>
      </w:tr>
    </w:tbl>
    <w:p>
      <w:pPr>
        <w:widowControl/>
        <w:snapToGrid w:val="0"/>
        <w:rPr>
          <w:rFonts w:ascii="Times New Roman" w:hAnsi="Times New Roman" w:eastAsia="宋体" w:cs="Times New Roman"/>
          <w:b/>
          <w:kern w:val="0"/>
          <w:sz w:val="11"/>
          <w:szCs w:val="11"/>
        </w:rPr>
      </w:pPr>
    </w:p>
    <w:p>
      <w:pPr>
        <w:widowControl/>
        <w:snapToGrid w:val="0"/>
        <w:spacing w:line="360" w:lineRule="auto"/>
        <w:ind w:left="850" w:hanging="850" w:hangingChars="403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b/>
          <w:kern w:val="0"/>
          <w:szCs w:val="21"/>
        </w:rPr>
        <w:t>说明：</w:t>
      </w:r>
      <w:r>
        <w:rPr>
          <w:rFonts w:ascii="Times New Roman" w:hAnsi="Times New Roman" w:eastAsia="宋体" w:cs="Times New Roman"/>
          <w:kern w:val="0"/>
          <w:szCs w:val="21"/>
        </w:rPr>
        <w:t>1．由于不同行业在研发投入与产出方面存在较大差异，技术中心评价时，对不同行业企业“研发经费支出占主营业务收入的比重”、“新产品销售收入占主营业务收入的比重”、“新产品销售利润占利润总额的比重”三个指标引入行业系数加以调节。</w:t>
      </w:r>
    </w:p>
    <w:p>
      <w:pPr>
        <w:widowControl/>
        <w:snapToGrid w:val="0"/>
        <w:spacing w:line="360" w:lineRule="auto"/>
        <w:ind w:left="850" w:leftChars="271" w:hanging="281" w:hangingChars="134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2．企业填报数据表时无需考虑行业系数，按实际数据填报。评价时，根据企业填报的实际数据计算得出上述指标的比重，再乘以行业系数，得出指标的评价值。</w:t>
      </w:r>
    </w:p>
    <w:p>
      <w:pPr>
        <w:widowControl/>
        <w:snapToGrid w:val="0"/>
        <w:spacing w:line="360" w:lineRule="auto"/>
        <w:ind w:left="850" w:leftChars="271" w:hanging="281" w:hangingChars="134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3．轻工</w:t>
      </w:r>
      <w:r>
        <w:rPr>
          <w:rFonts w:hint="eastAsia" w:ascii="宋体" w:hAnsi="宋体" w:eastAsia="宋体" w:cs="宋体"/>
          <w:kern w:val="0"/>
          <w:szCs w:val="21"/>
        </w:rPr>
        <w:t>Ⅰ</w:t>
      </w:r>
      <w:r>
        <w:rPr>
          <w:rFonts w:ascii="Times New Roman" w:hAnsi="Times New Roman" w:eastAsia="宋体" w:cs="Times New Roman"/>
          <w:kern w:val="0"/>
          <w:szCs w:val="21"/>
        </w:rPr>
        <w:t>为家电行业，轻工</w:t>
      </w:r>
      <w:r>
        <w:rPr>
          <w:rFonts w:hint="eastAsia" w:ascii="宋体" w:hAnsi="宋体" w:eastAsia="宋体" w:cs="宋体"/>
          <w:kern w:val="0"/>
          <w:szCs w:val="21"/>
        </w:rPr>
        <w:t>Ⅱ</w:t>
      </w:r>
      <w:r>
        <w:rPr>
          <w:rFonts w:ascii="Times New Roman" w:hAnsi="Times New Roman" w:eastAsia="宋体" w:cs="Times New Roman"/>
          <w:kern w:val="0"/>
          <w:szCs w:val="21"/>
        </w:rPr>
        <w:t>为轻工的其他行业。</w:t>
      </w:r>
    </w:p>
    <w:p>
      <w:pPr>
        <w:rPr>
          <w:rFonts w:ascii="Times New Roman" w:hAnsi="Times New Roman" w:eastAsia="方正仿宋_GBK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48980589"/>
      <w:docPartObj>
        <w:docPartGallery w:val="AutoText"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>
        <w:pPr>
          <w:pStyle w:val="2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  <w:lang w:val="zh-CN"/>
          </w:rPr>
          <w:t>3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194"/>
    <w:rsid w:val="000227AF"/>
    <w:rsid w:val="000E6162"/>
    <w:rsid w:val="00226B68"/>
    <w:rsid w:val="00247D5E"/>
    <w:rsid w:val="00272D48"/>
    <w:rsid w:val="00505442"/>
    <w:rsid w:val="00534C17"/>
    <w:rsid w:val="00557F64"/>
    <w:rsid w:val="005926FA"/>
    <w:rsid w:val="006C59EA"/>
    <w:rsid w:val="006E7810"/>
    <w:rsid w:val="006F4179"/>
    <w:rsid w:val="00773F9C"/>
    <w:rsid w:val="0098429B"/>
    <w:rsid w:val="009C5A6C"/>
    <w:rsid w:val="00A51B02"/>
    <w:rsid w:val="00AE4F14"/>
    <w:rsid w:val="00B02153"/>
    <w:rsid w:val="00B14A04"/>
    <w:rsid w:val="00D67407"/>
    <w:rsid w:val="00E263B4"/>
    <w:rsid w:val="00E279A7"/>
    <w:rsid w:val="00E32194"/>
    <w:rsid w:val="00FE0230"/>
    <w:rsid w:val="0447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421</Words>
  <Characters>2403</Characters>
  <Lines>20</Lines>
  <Paragraphs>5</Paragraphs>
  <TotalTime>1</TotalTime>
  <ScaleCrop>false</ScaleCrop>
  <LinksUpToDate>false</LinksUpToDate>
  <CharactersWithSpaces>2819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2021-05-31T01:50:00Z</dcterms:created>
  <dc:creator>PC</dc:creator>
  <cp:lastModifiedBy>bgs</cp:lastModifiedBy>
  <dcterms:modified xsi:type="dcterms:W3CDTF">2021-06-02T03:36:35Z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